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dbe5f1 [660]" focus="100%" type="gradient"/>
    </v:background>
  </w:background>
  <w:body>
    <w:p w:rsidR="00694553" w:rsidRPr="00320549" w:rsidRDefault="0051698B" w:rsidP="00320549">
      <w:pPr>
        <w:pStyle w:val="Cmsor2"/>
        <w:pBdr>
          <w:top w:val="single" w:sz="4" w:space="1" w:color="17365D" w:themeColor="text2" w:themeShade="BF" w:shadow="1"/>
          <w:left w:val="single" w:sz="4" w:space="4" w:color="17365D" w:themeColor="text2" w:themeShade="BF" w:shadow="1"/>
          <w:bottom w:val="single" w:sz="4" w:space="1" w:color="17365D" w:themeColor="text2" w:themeShade="BF" w:shadow="1"/>
          <w:right w:val="single" w:sz="4" w:space="4" w:color="17365D" w:themeColor="text2" w:themeShade="BF" w:shadow="1"/>
        </w:pBdr>
      </w:pPr>
      <w:r w:rsidRPr="00320549">
        <w:t xml:space="preserve">Összefoglaló a </w:t>
      </w:r>
      <w:r w:rsidR="0084781C" w:rsidRPr="00320549">
        <w:t>felelős üzleti magatartás ösztönzésének jó gyakorlatairól rendezett 2016. június 20-i műhelybeszélgetés</w:t>
      </w:r>
      <w:r w:rsidR="00884694" w:rsidRPr="00320549">
        <w:t xml:space="preserve"> visszajelzéseiről</w:t>
      </w:r>
    </w:p>
    <w:p w:rsidR="00DF177B" w:rsidRDefault="00DF177B" w:rsidP="005E62E2">
      <w:pPr>
        <w:jc w:val="both"/>
      </w:pPr>
    </w:p>
    <w:p w:rsidR="0013406A" w:rsidRDefault="00DF177B" w:rsidP="005E62E2">
      <w:pPr>
        <w:jc w:val="both"/>
      </w:pPr>
      <w:r>
        <w:t>A műhelybeszélgetés közel 100 részvevőjéből 25-en töltötték ki a rendezvény kapcsán készült kérdőívet</w:t>
      </w:r>
      <w:r w:rsidR="0013406A">
        <w:t>.</w:t>
      </w:r>
      <w:r w:rsidR="00655F1E">
        <w:t xml:space="preserve"> A visszajelzések a következőkben foglalhatók össze:</w:t>
      </w:r>
    </w:p>
    <w:p w:rsidR="0013406A" w:rsidRDefault="0013406A" w:rsidP="005E62E2">
      <w:pPr>
        <w:jc w:val="both"/>
      </w:pPr>
      <w:r>
        <w:t>A</w:t>
      </w:r>
      <w:r w:rsidR="00BF467C" w:rsidRPr="00BF467C">
        <w:rPr>
          <w:i/>
        </w:rPr>
        <w:t xml:space="preserve"> válaszadó által képviselt szervezet</w:t>
      </w:r>
      <w:r w:rsidR="00BF467C">
        <w:t>re</w:t>
      </w:r>
      <w:r>
        <w:t xml:space="preserve"> vonatkoz</w:t>
      </w:r>
      <w:r w:rsidR="008C23F7">
        <w:t>ó első kérdésre kapott válaszok szerint</w:t>
      </w:r>
      <w:r>
        <w:t xml:space="preserve"> </w:t>
      </w:r>
      <w:r w:rsidR="008C23F7">
        <w:t>a</w:t>
      </w:r>
      <w:r w:rsidR="00DF177B">
        <w:t xml:space="preserve"> legtöbb</w:t>
      </w:r>
      <w:r w:rsidR="008C23F7">
        <w:t>en</w:t>
      </w:r>
      <w:r w:rsidR="00DF177B">
        <w:t xml:space="preserve"> a közigazgatásban dolgoz</w:t>
      </w:r>
      <w:r w:rsidR="008C23F7">
        <w:t>na</w:t>
      </w:r>
      <w:r w:rsidR="00DF177B">
        <w:t>k</w:t>
      </w:r>
      <w:r>
        <w:t>. K</w:t>
      </w:r>
      <w:r w:rsidR="00884694">
        <w:t>özel ennyi volt a vállalati részvevő</w:t>
      </w:r>
      <w:r>
        <w:t xml:space="preserve"> és 2-2 visszajelzés érkezett munkaadói, munkavállalói és civil szervezeti képviselők részéről</w:t>
      </w:r>
      <w:r w:rsidR="00DF177B">
        <w:t>.</w:t>
      </w:r>
    </w:p>
    <w:p w:rsidR="0013406A" w:rsidRDefault="0013406A" w:rsidP="005E62E2">
      <w:pPr>
        <w:jc w:val="center"/>
      </w:pPr>
      <w:r>
        <w:rPr>
          <w:noProof/>
          <w:lang w:eastAsia="hu-HU"/>
        </w:rPr>
        <w:drawing>
          <wp:inline distT="0" distB="0" distL="0" distR="0" wp14:anchorId="5A2C3065" wp14:editId="6C4982B5">
            <wp:extent cx="5362576" cy="4157664"/>
            <wp:effectExtent l="0" t="0" r="9525" b="1460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5E40" w:rsidRDefault="00BF5E40" w:rsidP="005E62E2">
      <w:pPr>
        <w:jc w:val="both"/>
      </w:pPr>
    </w:p>
    <w:p w:rsidR="00DF177B" w:rsidRDefault="0013406A" w:rsidP="005E62E2">
      <w:pPr>
        <w:jc w:val="both"/>
      </w:pPr>
      <w:r>
        <w:t>A 9 vállalati részvevőből 8 válaszolta, hogy vállalatuknál van CSR vagy fenntarthatósági vezető</w:t>
      </w:r>
      <w:r w:rsidR="004D23E0">
        <w:t>, ill.</w:t>
      </w:r>
      <w:r>
        <w:t xml:space="preserve"> szakember</w:t>
      </w:r>
      <w:r w:rsidR="004D23E0">
        <w:t>, öt részvevő</w:t>
      </w:r>
      <w:r w:rsidR="008C23F7">
        <w:t xml:space="preserve"> pedig</w:t>
      </w:r>
      <w:r w:rsidR="004D23E0">
        <w:t xml:space="preserve"> maga is ellát ilyen feladato</w:t>
      </w:r>
      <w:r w:rsidR="008C23F7">
        <w:t>ka</w:t>
      </w:r>
      <w:r w:rsidR="004D23E0">
        <w:t>t teljes vagy részmunkaidőben.</w:t>
      </w:r>
      <w:r w:rsidR="00DF177B">
        <w:t xml:space="preserve"> </w:t>
      </w:r>
    </w:p>
    <w:p w:rsidR="00BF5E40" w:rsidRDefault="0037768A" w:rsidP="005E62E2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4CD328A1" wp14:editId="0238EABA">
            <wp:extent cx="5029200" cy="3524250"/>
            <wp:effectExtent l="0" t="0" r="19050" b="19050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5E40" w:rsidRDefault="00BF5E40" w:rsidP="005E62E2">
      <w:pPr>
        <w:jc w:val="both"/>
      </w:pPr>
    </w:p>
    <w:p w:rsidR="00BF5E40" w:rsidRDefault="00BF5E40" w:rsidP="005E62E2">
      <w:pPr>
        <w:jc w:val="both"/>
      </w:pPr>
      <w:r>
        <w:t xml:space="preserve">A következő kérdéscsoport a </w:t>
      </w:r>
      <w:r w:rsidRPr="00BF467C">
        <w:rPr>
          <w:i/>
        </w:rPr>
        <w:t>felelős üzleti magatartás</w:t>
      </w:r>
      <w:r>
        <w:t xml:space="preserve">ról </w:t>
      </w:r>
      <w:r w:rsidRPr="00BF467C">
        <w:rPr>
          <w:i/>
        </w:rPr>
        <w:t>(RBC/CSR)</w:t>
      </w:r>
      <w:r>
        <w:t xml:space="preserve"> kérdezte a részvevők véleményét. A válaszadók döntő többsége szerint a kérdés nagyon fontos vagy fontos.</w:t>
      </w:r>
    </w:p>
    <w:p w:rsidR="00BF5E40" w:rsidRDefault="004E11BD" w:rsidP="005E62E2">
      <w:pPr>
        <w:jc w:val="center"/>
      </w:pPr>
      <w:r>
        <w:rPr>
          <w:noProof/>
          <w:lang w:eastAsia="hu-HU"/>
        </w:rPr>
        <w:drawing>
          <wp:inline distT="0" distB="0" distL="0" distR="0" wp14:anchorId="6A691D90">
            <wp:extent cx="4554000" cy="364320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36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A8E" w:rsidRDefault="00BF467C" w:rsidP="005E62E2">
      <w:pPr>
        <w:jc w:val="both"/>
      </w:pPr>
      <w:r>
        <w:lastRenderedPageBreak/>
        <w:t xml:space="preserve">Az </w:t>
      </w:r>
      <w:proofErr w:type="gramStart"/>
      <w:r>
        <w:t>eredmény hasonló</w:t>
      </w:r>
      <w:proofErr w:type="gramEnd"/>
      <w:r w:rsidR="0079457F">
        <w:t>,</w:t>
      </w:r>
      <w:r w:rsidR="00EE3A8E">
        <w:t xml:space="preserve"> de kevésbé erőteljes, ha a kérdést</w:t>
      </w:r>
      <w:r w:rsidR="0008609C" w:rsidRPr="0008609C">
        <w:t xml:space="preserve"> </w:t>
      </w:r>
      <w:r w:rsidR="0008609C">
        <w:t>nem globális szinten,</w:t>
      </w:r>
      <w:r w:rsidR="0008609C">
        <w:t xml:space="preserve"> hanem</w:t>
      </w:r>
      <w:r w:rsidR="00EE3A8E">
        <w:t xml:space="preserve"> Magyarország</w:t>
      </w:r>
      <w:r w:rsidR="0008609C">
        <w:t>ra</w:t>
      </w:r>
      <w:r w:rsidR="00EE3A8E" w:rsidRPr="00EE3A8E">
        <w:t xml:space="preserve"> </w:t>
      </w:r>
      <w:r w:rsidR="00EE3A8E">
        <w:t>vonatkoz</w:t>
      </w:r>
      <w:r w:rsidR="0008609C">
        <w:t>ó</w:t>
      </w:r>
      <w:r w:rsidR="00EE3A8E">
        <w:t>an tesszük fel. Itt a „fontos” válaszok száma másfélszerese a „nagyon fontos”</w:t>
      </w:r>
      <w:proofErr w:type="spellStart"/>
      <w:r w:rsidR="00EE3A8E">
        <w:t>-okénak</w:t>
      </w:r>
      <w:proofErr w:type="spellEnd"/>
      <w:r w:rsidR="00EE3A8E">
        <w:t>, és számottevő a „nem tartozik a legfontosabb kérdések közé” válaszok száma is. Ugyanakkor továbbra sem válaszolta senki, hogy „egyáltalán nem fontos”.</w:t>
      </w:r>
    </w:p>
    <w:p w:rsidR="00BF5E40" w:rsidRDefault="007319A5" w:rsidP="005E62E2">
      <w:pPr>
        <w:jc w:val="center"/>
      </w:pPr>
      <w:r>
        <w:rPr>
          <w:noProof/>
          <w:lang w:eastAsia="hu-HU"/>
        </w:rPr>
        <w:drawing>
          <wp:inline distT="0" distB="0" distL="0" distR="0" wp14:anchorId="1431A14F">
            <wp:extent cx="4510800" cy="3790800"/>
            <wp:effectExtent l="0" t="0" r="4445" b="63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800" cy="37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9A5" w:rsidRDefault="007319A5" w:rsidP="005E62E2">
      <w:pPr>
        <w:jc w:val="both"/>
      </w:pPr>
    </w:p>
    <w:p w:rsidR="00EE3A8E" w:rsidRDefault="00EE3A8E" w:rsidP="005E62E2">
      <w:pPr>
        <w:jc w:val="both"/>
      </w:pPr>
      <w:r>
        <w:t>A következő kérdés arra vonatkozott</w:t>
      </w:r>
      <w:r w:rsidR="00D21610">
        <w:t xml:space="preserve">, hogy a felelős üzlet magatartás </w:t>
      </w:r>
      <w:r w:rsidR="00D21610" w:rsidRPr="00D21610">
        <w:t xml:space="preserve">mely területét </w:t>
      </w:r>
      <w:r w:rsidR="00D21610">
        <w:t>tekinti</w:t>
      </w:r>
      <w:r w:rsidR="00BF467C">
        <w:t xml:space="preserve"> a válaszadó</w:t>
      </w:r>
      <w:r w:rsidR="00D21610" w:rsidRPr="00D21610">
        <w:t xml:space="preserve"> a legfontosabbnak</w:t>
      </w:r>
      <w:r w:rsidR="007319A5">
        <w:rPr>
          <w:rStyle w:val="Lbjegyzet-hivatkozs"/>
        </w:rPr>
        <w:footnoteReference w:id="1"/>
      </w:r>
      <w:r w:rsidR="00D21610">
        <w:t>.</w:t>
      </w:r>
      <w:r>
        <w:t xml:space="preserve"> </w:t>
      </w:r>
      <w:r w:rsidR="00D21610">
        <w:t xml:space="preserve"> </w:t>
      </w:r>
      <w:proofErr w:type="gramStart"/>
      <w:r w:rsidR="00D21610">
        <w:t>A</w:t>
      </w:r>
      <w:proofErr w:type="gramEnd"/>
      <w:r w:rsidR="00D21610">
        <w:t xml:space="preserve"> területeket döntően az OECD Multinacionális vállalatokra vonatkozó irányelvei</w:t>
      </w:r>
      <w:r w:rsidR="00BF467C">
        <w:t>nek megfelelően</w:t>
      </w:r>
      <w:r w:rsidR="00D21610">
        <w:t xml:space="preserve"> </w:t>
      </w:r>
      <w:r w:rsidR="0079457F">
        <w:t>választottuk ki</w:t>
      </w:r>
      <w:r w:rsidR="00D21610">
        <w:t xml:space="preserve">, </w:t>
      </w:r>
      <w:r w:rsidR="0079457F">
        <w:t>de</w:t>
      </w:r>
      <w:r w:rsidR="00D21610">
        <w:t xml:space="preserve"> kiegészítettük a „fenntartható fejlődés” és a „helyi közösségek, közhasznú tevékenységek támogatása” kérdéskörével. A válaszok megoszlottak, </w:t>
      </w:r>
      <w:r w:rsidR="00BF467C">
        <w:t xml:space="preserve">a válaszokban </w:t>
      </w:r>
      <w:r w:rsidR="00D21610">
        <w:t xml:space="preserve">minden terület </w:t>
      </w:r>
      <w:r w:rsidR="00BF467C">
        <w:t>megjelent</w:t>
      </w:r>
      <w:r w:rsidR="00D21610">
        <w:t xml:space="preserve">. </w:t>
      </w:r>
      <w:r w:rsidR="005E62E2">
        <w:t>Kiemelkedett</w:t>
      </w:r>
      <w:r w:rsidR="00D21610">
        <w:t xml:space="preserve"> a „fenntartható fejlődés”</w:t>
      </w:r>
      <w:r w:rsidR="005E62E2">
        <w:t xml:space="preserve"> és igen sokan tart</w:t>
      </w:r>
      <w:r w:rsidR="007319A5">
        <w:t>ott</w:t>
      </w:r>
      <w:r w:rsidR="005E62E2">
        <w:t>ák a környezetvédelmet és a foglalkoztatást is a legfontosabbak között. A CSR „hagyományosnak tekinthető” célterülete „a helyi közösségek, közhasznú tevékenységek támogatása</w:t>
      </w:r>
      <w:r w:rsidR="00BF467C">
        <w:t>”</w:t>
      </w:r>
      <w:r w:rsidR="005E62E2">
        <w:t xml:space="preserve"> a középmezőnybe került, amit</w:t>
      </w:r>
      <w:r w:rsidR="0079457F">
        <w:t xml:space="preserve"> – összhangban a műhelybeszélgetés egyik nem titkolt üzenetével </w:t>
      </w:r>
      <w:r w:rsidR="00195A6E">
        <w:t>–</w:t>
      </w:r>
      <w:r w:rsidR="005E62E2">
        <w:t xml:space="preserve"> úgy</w:t>
      </w:r>
      <w:r w:rsidR="00195A6E">
        <w:t xml:space="preserve"> is</w:t>
      </w:r>
      <w:r w:rsidR="005E62E2">
        <w:t xml:space="preserve"> értelmezhetünk, hogy hazánkban is sokan gondolják: a felelős üzleti magatartás sokkal több, mint</w:t>
      </w:r>
      <w:r w:rsidR="00195A6E">
        <w:t xml:space="preserve"> egyszerű</w:t>
      </w:r>
      <w:r w:rsidR="005E62E2">
        <w:t xml:space="preserve"> filantrópia.</w:t>
      </w:r>
    </w:p>
    <w:p w:rsidR="00EE3A8E" w:rsidRDefault="00EE3A8E" w:rsidP="005E62E2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28DA67B1" wp14:editId="5DC8CA64">
            <wp:extent cx="5400675" cy="3811937"/>
            <wp:effectExtent l="0" t="0" r="9525" b="17145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19A5" w:rsidRDefault="007319A5" w:rsidP="005E62E2">
      <w:pPr>
        <w:jc w:val="both"/>
      </w:pPr>
    </w:p>
    <w:p w:rsidR="00BC79A4" w:rsidRDefault="0085224D" w:rsidP="005E62E2">
      <w:pPr>
        <w:jc w:val="both"/>
      </w:pPr>
      <w:r>
        <w:t>Megkérdeztük a műhelybeszélgetés részvevőit, mennyire tartják szükségesnek, hogy a vállalatok a felelős magatartással, ill. a társadalmi felelősségvállalással</w:t>
      </w:r>
      <w:r w:rsidR="00195A6E" w:rsidRPr="00195A6E">
        <w:t xml:space="preserve"> </w:t>
      </w:r>
      <w:r w:rsidR="00195A6E">
        <w:t>foglalkozzanak</w:t>
      </w:r>
      <w:r>
        <w:t xml:space="preserve">. </w:t>
      </w:r>
    </w:p>
    <w:p w:rsidR="00BC79A4" w:rsidRDefault="007319A5" w:rsidP="007319A5">
      <w:pPr>
        <w:ind w:left="-709"/>
        <w:jc w:val="both"/>
      </w:pPr>
      <w:r>
        <w:rPr>
          <w:noProof/>
          <w:lang w:eastAsia="hu-HU"/>
        </w:rPr>
        <w:drawing>
          <wp:inline distT="0" distB="0" distL="0" distR="0" wp14:anchorId="0233A724">
            <wp:extent cx="6307200" cy="349560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00" cy="34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24D">
        <w:t xml:space="preserve"> </w:t>
      </w:r>
    </w:p>
    <w:p w:rsidR="00BC79A4" w:rsidRDefault="00195A6E" w:rsidP="00BC79A4">
      <w:pPr>
        <w:jc w:val="both"/>
      </w:pPr>
      <w:r>
        <w:lastRenderedPageBreak/>
        <w:t xml:space="preserve">A kapott válaszok túlnyomó többsége szerint ez mind a vállalatok mind a társadalom </w:t>
      </w:r>
      <w:r w:rsidR="00BC79A4">
        <w:t>érdekében fontos vagy nagyon fontos, és egyetlen válaszadó sem gondolta, hogy</w:t>
      </w:r>
      <w:r w:rsidR="00BC79A4" w:rsidRPr="00BC79A4">
        <w:t xml:space="preserve"> </w:t>
      </w:r>
      <w:r w:rsidR="00BC79A4">
        <w:t>ne</w:t>
      </w:r>
      <w:r w:rsidR="000F435B">
        <w:t xml:space="preserve"> lenne</w:t>
      </w:r>
      <w:r w:rsidR="00BC79A4">
        <w:t xml:space="preserve"> szükséges</w:t>
      </w:r>
      <w:r>
        <w:t xml:space="preserve"> vagy</w:t>
      </w:r>
      <w:r w:rsidR="00BC79A4">
        <w:t xml:space="preserve"> csak felesleges többlette</w:t>
      </w:r>
      <w:r w:rsidR="000F435B">
        <w:t>r</w:t>
      </w:r>
      <w:r w:rsidR="00BC79A4">
        <w:t>he</w:t>
      </w:r>
      <w:r w:rsidR="000F435B">
        <w:t>t jelentene</w:t>
      </w:r>
      <w:r w:rsidR="00BC79A4">
        <w:t>.</w:t>
      </w:r>
    </w:p>
    <w:p w:rsidR="0085224D" w:rsidRDefault="000F435B" w:rsidP="00BC79A4">
      <w:pPr>
        <w:jc w:val="both"/>
      </w:pPr>
      <w:r>
        <w:t>Rákérdeztünk arra is</w:t>
      </w:r>
      <w:r w:rsidR="0025128B">
        <w:t>, hogy a válaszadó m</w:t>
      </w:r>
      <w:r w:rsidR="0025128B" w:rsidRPr="0025128B">
        <w:t>egítélése szerint kell-e</w:t>
      </w:r>
      <w:r w:rsidR="0025128B">
        <w:t>, ill. milyen</w:t>
      </w:r>
      <w:r w:rsidR="0025128B" w:rsidRPr="0025128B">
        <w:t xml:space="preserve"> szerepet vállalni az államnak az RBC/CSR érdekében</w:t>
      </w:r>
      <w:r w:rsidR="00D00978" w:rsidRPr="00D00978">
        <w:rPr>
          <w:vertAlign w:val="superscript"/>
        </w:rPr>
        <w:t>1</w:t>
      </w:r>
      <w:r w:rsidR="0025128B">
        <w:t>. Szinte minden válaszadó szerint szükség van az állam ösztönző, támogató szerepvállalására, és sokan igénylik az állami példamutatást</w:t>
      </w:r>
      <w:r w:rsidR="00D00978">
        <w:t>,</w:t>
      </w:r>
      <w:r w:rsidR="0025128B">
        <w:t xml:space="preserve"> </w:t>
      </w:r>
      <w:r w:rsidR="00D00978">
        <w:t>továbbá</w:t>
      </w:r>
      <w:r w:rsidR="00195A6E">
        <w:t xml:space="preserve"> javasolják a</w:t>
      </w:r>
      <w:r w:rsidR="0025128B">
        <w:t xml:space="preserve"> tudatformáló tevékenységeket. Összességében a válaszadók több mint fele látja az állam szabályozó szerepét szükségesnek ezen a területen is, de csak a válaszadók 20%-a gondolja, hogy a szabályozás és ellenőrzés lenne az állam elsődleges szerepe</w:t>
      </w:r>
      <w:r w:rsidR="002374DD">
        <w:t>. Hasonlóan</w:t>
      </w:r>
      <w:r w:rsidR="00D00978">
        <w:t xml:space="preserve"> csak</w:t>
      </w:r>
      <w:r w:rsidR="002374DD">
        <w:t xml:space="preserve"> minden ötödik válaszadó gondolja, hogy az államnak az oktatás területén </w:t>
      </w:r>
      <w:r w:rsidR="00195A6E">
        <w:t>vannak</w:t>
      </w:r>
      <w:r w:rsidR="00D00978">
        <w:t xml:space="preserve"> kiemelt</w:t>
      </w:r>
      <w:r w:rsidR="002374DD">
        <w:t xml:space="preserve"> feladatai az RBC/CSR ösztönzése érdekében. Senki nem válaszolta, hogy az államnak semmilyen szerepet </w:t>
      </w:r>
      <w:r w:rsidR="00195A6E">
        <w:t xml:space="preserve">nem szükséges </w:t>
      </w:r>
      <w:r w:rsidR="002374DD">
        <w:t>játszania.</w:t>
      </w:r>
    </w:p>
    <w:p w:rsidR="002374DD" w:rsidRDefault="00D00978" w:rsidP="00D00978">
      <w:pPr>
        <w:ind w:left="-426"/>
        <w:jc w:val="both"/>
      </w:pPr>
      <w:r>
        <w:rPr>
          <w:noProof/>
          <w:lang w:eastAsia="hu-HU"/>
        </w:rPr>
        <w:drawing>
          <wp:inline distT="0" distB="0" distL="0" distR="0" wp14:anchorId="45E3C1BC">
            <wp:extent cx="6066000" cy="3744000"/>
            <wp:effectExtent l="0" t="0" r="0" b="889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00" cy="37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978" w:rsidRDefault="00D00978" w:rsidP="002374DD">
      <w:pPr>
        <w:jc w:val="both"/>
      </w:pPr>
    </w:p>
    <w:p w:rsidR="002374DD" w:rsidRDefault="002374DD" w:rsidP="002374DD">
      <w:pPr>
        <w:jc w:val="both"/>
      </w:pPr>
      <w:r>
        <w:t xml:space="preserve">A következő kérdés arra vonatkozott, </w:t>
      </w:r>
      <w:r w:rsidRPr="002374DD">
        <w:t>szükséges-e Magyarországon az RBC/</w:t>
      </w:r>
      <w:proofErr w:type="spellStart"/>
      <w:r w:rsidRPr="002374DD">
        <w:t>CSR-t</w:t>
      </w:r>
      <w:proofErr w:type="spellEnd"/>
      <w:r w:rsidRPr="002374DD">
        <w:t xml:space="preserve"> állami forrásokkal támogatni</w:t>
      </w:r>
      <w:r w:rsidR="00195A6E" w:rsidRPr="00195A6E">
        <w:rPr>
          <w:vertAlign w:val="superscript"/>
        </w:rPr>
        <w:t>1</w:t>
      </w:r>
      <w:r>
        <w:t>. A legtöbb</w:t>
      </w:r>
      <w:r w:rsidR="00D00978">
        <w:t xml:space="preserve"> válaszadó</w:t>
      </w:r>
      <w:r>
        <w:t xml:space="preserve"> </w:t>
      </w:r>
      <w:r w:rsidRPr="002374DD">
        <w:t>etikus üzleti maga</w:t>
      </w:r>
      <w:r>
        <w:t>tartást segítő szakmai anyagok készítését és a felelős vállalatok erkölcsi (pl. díjak</w:t>
      </w:r>
      <w:r w:rsidR="00D00978">
        <w:t>kal történő) elismerését tartja</w:t>
      </w:r>
      <w:r>
        <w:t xml:space="preserve"> támogatandónak. Sokan gondolják, hogy </w:t>
      </w:r>
      <w:r w:rsidR="00DE2126">
        <w:t xml:space="preserve">szükség van pályázati támogatásokra, ill. anyagi forrásokkal rendelkező etikus üzleti magatartást támogató szervezet/szervezeti egység létrehozására. </w:t>
      </w:r>
    </w:p>
    <w:p w:rsidR="00DE2126" w:rsidRDefault="00DE2126" w:rsidP="00D00978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4E4C59AE">
            <wp:extent cx="5162400" cy="4017600"/>
            <wp:effectExtent l="0" t="0" r="635" b="254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00" cy="40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978" w:rsidRDefault="00D00978" w:rsidP="002374DD">
      <w:pPr>
        <w:jc w:val="both"/>
      </w:pPr>
    </w:p>
    <w:p w:rsidR="00DE2126" w:rsidRDefault="008B217A" w:rsidP="002374DD">
      <w:pPr>
        <w:jc w:val="both"/>
      </w:pPr>
      <w:r>
        <w:t>Egy a</w:t>
      </w:r>
      <w:r w:rsidR="00DE2126">
        <w:t xml:space="preserve"> </w:t>
      </w:r>
      <w:r w:rsidR="00DE2126" w:rsidRPr="00DE2126">
        <w:rPr>
          <w:i/>
        </w:rPr>
        <w:t>műhelybeszélgetés megítélésé</w:t>
      </w:r>
      <w:r w:rsidR="00DE2126">
        <w:t>re vonatkozó kérdés azt vizsgálta, mennyiben felelt meg a konferencia a válaszadó várakozásainak.</w:t>
      </w:r>
    </w:p>
    <w:p w:rsidR="00BC79A4" w:rsidRDefault="00DE2126" w:rsidP="00DE2126">
      <w:pPr>
        <w:jc w:val="center"/>
      </w:pPr>
      <w:r>
        <w:rPr>
          <w:noProof/>
          <w:lang w:eastAsia="hu-HU"/>
        </w:rPr>
        <w:drawing>
          <wp:inline distT="0" distB="0" distL="0" distR="0" wp14:anchorId="22BDF890" wp14:editId="20AFC8C9">
            <wp:extent cx="4572000" cy="3319463"/>
            <wp:effectExtent l="0" t="0" r="19050" b="14605"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2126" w:rsidRDefault="001375A6" w:rsidP="00DE2126">
      <w:pPr>
        <w:jc w:val="both"/>
      </w:pPr>
      <w:r>
        <w:lastRenderedPageBreak/>
        <w:t>A válaszok összességében pozitívnak tekinthetők, és v</w:t>
      </w:r>
      <w:r w:rsidR="00DE2126">
        <w:t>alamennyi válaszadó</w:t>
      </w:r>
      <w:r>
        <w:t xml:space="preserve"> </w:t>
      </w:r>
      <w:r w:rsidR="00DE2126">
        <w:t xml:space="preserve">szívesen venne </w:t>
      </w:r>
      <w:r>
        <w:t xml:space="preserve">részt </w:t>
      </w:r>
      <w:r w:rsidR="00DE2126">
        <w:t>évente egy vagy több hasonló rendezvényen.</w:t>
      </w:r>
    </w:p>
    <w:p w:rsidR="00DE2126" w:rsidRDefault="00DE2126" w:rsidP="00DE2126">
      <w:pPr>
        <w:jc w:val="center"/>
      </w:pPr>
      <w:r>
        <w:rPr>
          <w:noProof/>
          <w:lang w:eastAsia="hu-HU"/>
        </w:rPr>
        <w:drawing>
          <wp:inline distT="0" distB="0" distL="0" distR="0" wp14:anchorId="29EC8B7E" wp14:editId="6D948CE7">
            <wp:extent cx="4572000" cy="3443288"/>
            <wp:effectExtent l="0" t="0" r="19050" b="24130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2126" w:rsidRDefault="00DE2126" w:rsidP="0079457F">
      <w:pPr>
        <w:jc w:val="both"/>
      </w:pPr>
      <w:r>
        <w:t xml:space="preserve">Az elhangzott prezentációk, ill. a panelbeszélgetés mindegyike több </w:t>
      </w:r>
      <w:r w:rsidR="008B217A">
        <w:t>részvevő tetszését elnyerte</w:t>
      </w:r>
      <w:r>
        <w:t xml:space="preserve"> a </w:t>
      </w:r>
      <w:proofErr w:type="spellStart"/>
      <w:r>
        <w:t>max</w:t>
      </w:r>
      <w:proofErr w:type="spellEnd"/>
      <w:r>
        <w:t xml:space="preserve">. 3 leghasznosabb </w:t>
      </w:r>
      <w:r w:rsidR="0079457F">
        <w:t xml:space="preserve">programpontra </w:t>
      </w:r>
      <w:r w:rsidR="008B217A">
        <w:t>adott válaszok szerint</w:t>
      </w:r>
      <w:r w:rsidR="0079457F">
        <w:t xml:space="preserve">. A legtöbben </w:t>
      </w:r>
      <w:proofErr w:type="spellStart"/>
      <w:r w:rsidR="0079457F">
        <w:t>Jacqueline</w:t>
      </w:r>
      <w:proofErr w:type="spellEnd"/>
      <w:r w:rsidR="0079457F">
        <w:t xml:space="preserve"> </w:t>
      </w:r>
      <w:proofErr w:type="spellStart"/>
      <w:r w:rsidR="0079457F">
        <w:t>Kacprzak</w:t>
      </w:r>
      <w:proofErr w:type="spellEnd"/>
      <w:r w:rsidR="0079457F">
        <w:t>, miniszteri tanácsadó asszony „Együttműködés a CSR és RBC területén és a ’</w:t>
      </w:r>
      <w:proofErr w:type="spellStart"/>
      <w:r w:rsidR="0079457F">
        <w:t>Felelős</w:t>
      </w:r>
      <w:proofErr w:type="spellEnd"/>
      <w:r w:rsidR="0079457F">
        <w:t xml:space="preserve"> fejlődés terve’ Lengyelországban” című előadásából tudtak profitálni.</w:t>
      </w:r>
    </w:p>
    <w:p w:rsidR="001375A6" w:rsidRDefault="001375A6" w:rsidP="0079457F">
      <w:pPr>
        <w:jc w:val="both"/>
      </w:pPr>
      <w:r>
        <w:t>Köszönjük a műhel</w:t>
      </w:r>
      <w:bookmarkStart w:id="0" w:name="_GoBack"/>
      <w:bookmarkEnd w:id="0"/>
      <w:r>
        <w:t>ybeszélgetés részvevőinek, hogy véleményükkel segítették munkánkat!</w:t>
      </w:r>
    </w:p>
    <w:sectPr w:rsidR="001375A6" w:rsidSect="008B4AB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0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35" w:rsidRDefault="00C32B35" w:rsidP="008B4ABD">
      <w:pPr>
        <w:spacing w:after="0" w:line="240" w:lineRule="auto"/>
      </w:pPr>
      <w:r>
        <w:separator/>
      </w:r>
    </w:p>
  </w:endnote>
  <w:endnote w:type="continuationSeparator" w:id="0">
    <w:p w:rsidR="00C32B35" w:rsidRDefault="00C32B35" w:rsidP="008B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D" w:rsidRDefault="008B4AB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010922"/>
      <w:docPartObj>
        <w:docPartGallery w:val="Page Numbers (Bottom of Page)"/>
        <w:docPartUnique/>
      </w:docPartObj>
    </w:sdtPr>
    <w:sdtEndPr/>
    <w:sdtContent>
      <w:p w:rsidR="008B4ABD" w:rsidRDefault="008B4ABD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2F3CAF" wp14:editId="0837CF7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ABD" w:rsidRDefault="008B4AB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B217A" w:rsidRPr="008B217A">
                                <w:rPr>
                                  <w:noProof/>
                                  <w:color w:val="7F7F7F" w:themeColor="text1" w:themeTint="80"/>
                                </w:rPr>
                                <w:t>7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Alakzat 13" o:spid="_x0000_s1026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8B4ABD" w:rsidRDefault="008B4AB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B217A" w:rsidRPr="008B217A">
                          <w:rPr>
                            <w:noProof/>
                            <w:color w:val="7F7F7F" w:themeColor="text1" w:themeTint="80"/>
                          </w:rPr>
                          <w:t>7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D" w:rsidRDefault="008B4A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35" w:rsidRDefault="00C32B35" w:rsidP="008B4ABD">
      <w:pPr>
        <w:spacing w:after="0" w:line="240" w:lineRule="auto"/>
      </w:pPr>
      <w:r>
        <w:separator/>
      </w:r>
    </w:p>
  </w:footnote>
  <w:footnote w:type="continuationSeparator" w:id="0">
    <w:p w:rsidR="00C32B35" w:rsidRDefault="00C32B35" w:rsidP="008B4ABD">
      <w:pPr>
        <w:spacing w:after="0" w:line="240" w:lineRule="auto"/>
      </w:pPr>
      <w:r>
        <w:continuationSeparator/>
      </w:r>
    </w:p>
  </w:footnote>
  <w:footnote w:id="1">
    <w:p w:rsidR="007319A5" w:rsidRDefault="007319A5">
      <w:pPr>
        <w:pStyle w:val="Lbjegyzetszveg"/>
      </w:pPr>
      <w:r>
        <w:rPr>
          <w:rStyle w:val="Lbjegyzet-hivatkozs"/>
        </w:rPr>
        <w:footnoteRef/>
      </w:r>
      <w:r>
        <w:t xml:space="preserve">  S</w:t>
      </w:r>
      <w:r>
        <w:t>zemélyenként 3</w:t>
      </w:r>
      <w:r>
        <w:t xml:space="preserve"> kérdéskört lehetett megjelölni.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D" w:rsidRDefault="008B4AB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D" w:rsidRDefault="008B4AB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D" w:rsidRDefault="008B4AB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8B"/>
    <w:rsid w:val="0008609C"/>
    <w:rsid w:val="000F435B"/>
    <w:rsid w:val="0013406A"/>
    <w:rsid w:val="001375A6"/>
    <w:rsid w:val="00190683"/>
    <w:rsid w:val="00195A6E"/>
    <w:rsid w:val="001D0B24"/>
    <w:rsid w:val="002374DD"/>
    <w:rsid w:val="0025128B"/>
    <w:rsid w:val="00320549"/>
    <w:rsid w:val="0037768A"/>
    <w:rsid w:val="004C5575"/>
    <w:rsid w:val="004D23E0"/>
    <w:rsid w:val="004E11BD"/>
    <w:rsid w:val="0051698B"/>
    <w:rsid w:val="00547292"/>
    <w:rsid w:val="005E62E2"/>
    <w:rsid w:val="00655F1E"/>
    <w:rsid w:val="00694553"/>
    <w:rsid w:val="007319A5"/>
    <w:rsid w:val="0079457F"/>
    <w:rsid w:val="007C3820"/>
    <w:rsid w:val="0084781C"/>
    <w:rsid w:val="0085224D"/>
    <w:rsid w:val="00884694"/>
    <w:rsid w:val="008B217A"/>
    <w:rsid w:val="008B4ABD"/>
    <w:rsid w:val="008C23F7"/>
    <w:rsid w:val="009813A4"/>
    <w:rsid w:val="00BC79A4"/>
    <w:rsid w:val="00BF467C"/>
    <w:rsid w:val="00BF5E40"/>
    <w:rsid w:val="00C32B35"/>
    <w:rsid w:val="00D00978"/>
    <w:rsid w:val="00D21610"/>
    <w:rsid w:val="00DE2126"/>
    <w:rsid w:val="00DF177B"/>
    <w:rsid w:val="00EE3A8E"/>
    <w:rsid w:val="00F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1A1"/>
    <w:rPr>
      <w:sz w:val="24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20549"/>
    <w:pPr>
      <w:keepNext/>
      <w:keepLines/>
      <w:spacing w:before="12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C3820"/>
    <w:pPr>
      <w:keepNext/>
      <w:keepLines/>
      <w:spacing w:before="200" w:after="1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7C3820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7C38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7C38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2Char">
    <w:name w:val="Címsor 2 Char"/>
    <w:basedOn w:val="Bekezdsalapbettpusa"/>
    <w:link w:val="Cmsor2"/>
    <w:uiPriority w:val="9"/>
    <w:rsid w:val="003205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llb">
    <w:name w:val="footer"/>
    <w:basedOn w:val="Norml"/>
    <w:link w:val="llbChar"/>
    <w:autoRedefine/>
    <w:uiPriority w:val="99"/>
    <w:unhideWhenUsed/>
    <w:rsid w:val="00547292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547292"/>
    <w:rPr>
      <w:sz w:val="24"/>
    </w:rPr>
  </w:style>
  <w:style w:type="paragraph" w:customStyle="1" w:styleId="lbjegyzet">
    <w:name w:val="lábjegyzet"/>
    <w:basedOn w:val="Lbjegyzetszveg"/>
    <w:link w:val="lbjegyzetChar"/>
    <w:autoRedefine/>
    <w:qFormat/>
    <w:rsid w:val="004C5575"/>
    <w:pPr>
      <w:suppressAutoHyphens/>
    </w:pPr>
    <w:rPr>
      <w:rFonts w:ascii="Arial" w:hAnsi="Arial"/>
      <w:sz w:val="22"/>
      <w:szCs w:val="22"/>
      <w:lang w:val="x-none" w:eastAsia="ar-SA"/>
    </w:rPr>
  </w:style>
  <w:style w:type="character" w:customStyle="1" w:styleId="lbjegyzetChar">
    <w:name w:val="lábjegyzet Char"/>
    <w:basedOn w:val="LbjegyzetszvegChar"/>
    <w:link w:val="lbjegyzet"/>
    <w:rsid w:val="004C5575"/>
    <w:rPr>
      <w:rFonts w:ascii="Arial" w:hAnsi="Arial"/>
      <w:sz w:val="20"/>
      <w:szCs w:val="20"/>
      <w:lang w:val="x-none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55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557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406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B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ABD"/>
    <w:rPr>
      <w:sz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195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1A1"/>
    <w:rPr>
      <w:sz w:val="24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20549"/>
    <w:pPr>
      <w:keepNext/>
      <w:keepLines/>
      <w:spacing w:before="12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C3820"/>
    <w:pPr>
      <w:keepNext/>
      <w:keepLines/>
      <w:spacing w:before="200" w:after="1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7C3820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7C38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7C38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2Char">
    <w:name w:val="Címsor 2 Char"/>
    <w:basedOn w:val="Bekezdsalapbettpusa"/>
    <w:link w:val="Cmsor2"/>
    <w:uiPriority w:val="9"/>
    <w:rsid w:val="003205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llb">
    <w:name w:val="footer"/>
    <w:basedOn w:val="Norml"/>
    <w:link w:val="llbChar"/>
    <w:autoRedefine/>
    <w:uiPriority w:val="99"/>
    <w:unhideWhenUsed/>
    <w:rsid w:val="00547292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547292"/>
    <w:rPr>
      <w:sz w:val="24"/>
    </w:rPr>
  </w:style>
  <w:style w:type="paragraph" w:customStyle="1" w:styleId="lbjegyzet">
    <w:name w:val="lábjegyzet"/>
    <w:basedOn w:val="Lbjegyzetszveg"/>
    <w:link w:val="lbjegyzetChar"/>
    <w:autoRedefine/>
    <w:qFormat/>
    <w:rsid w:val="004C5575"/>
    <w:pPr>
      <w:suppressAutoHyphens/>
    </w:pPr>
    <w:rPr>
      <w:rFonts w:ascii="Arial" w:hAnsi="Arial"/>
      <w:sz w:val="22"/>
      <w:szCs w:val="22"/>
      <w:lang w:val="x-none" w:eastAsia="ar-SA"/>
    </w:rPr>
  </w:style>
  <w:style w:type="character" w:customStyle="1" w:styleId="lbjegyzetChar">
    <w:name w:val="lábjegyzet Char"/>
    <w:basedOn w:val="LbjegyzetszvegChar"/>
    <w:link w:val="lbjegyzet"/>
    <w:rsid w:val="004C5575"/>
    <w:rPr>
      <w:rFonts w:ascii="Arial" w:hAnsi="Arial"/>
      <w:sz w:val="20"/>
      <w:szCs w:val="20"/>
      <w:lang w:val="x-none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55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557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406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B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ABD"/>
    <w:rPr>
      <w:sz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195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go.julia\Documents\2014\OECD\LengyelCSR\follow%20up\Osszes&#237;to_kerdoiv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go.julia\Documents\2014\OECD\LengyelCSR\follow%20up\Osszes&#237;to_kerdoiv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go.julia\Documents\2014\OECD\LengyelCSR\follow%20up\Osszes&#237;to_kerdoiv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go.julia\Documents\2014\OECD\LengyelCSR\follow%20up\Osszes&#237;to_kerdoiv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go.julia\Documents\2014\OECD\LengyelCSR\follow%20up\Osszes&#237;to_kerdoi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800" b="1" i="0" u="none" strike="noStrike" baseline="0">
                <a:effectLst/>
              </a:rPr>
              <a:t>Kinek a képviseletében vett részt a konferencián?</a:t>
            </a:r>
            <a:r>
              <a:rPr lang="hu-HU" sz="1800" b="1" i="0" u="none" strike="noStrike" baseline="0"/>
              <a:t> </a:t>
            </a:r>
            <a:endParaRPr lang="hu-HU"/>
          </a:p>
        </c:rich>
      </c:tx>
      <c:layout>
        <c:manualLayout>
          <c:xMode val="edge"/>
          <c:yMode val="edge"/>
          <c:x val="0.16378869149895164"/>
          <c:y val="1.527299945353929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 b="1"/>
                      <a:t>Nagyvállalat 1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3.1231818439496243E-2"/>
                  <c:y val="-5.349157603885258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9.2691273746050407E-2"/>
                  <c:y val="-5.17624800849706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0.21457691228991441"/>
                  <c:y val="0.11818703964533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-0.27977070228650264"/>
                  <c:y val="7.23322038529328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0.26012122298754392"/>
                  <c:y val="4.7895404727269927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Magánszemély 0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General" sourceLinked="0"/>
            <c:txPr>
              <a:bodyPr/>
              <a:lstStyle/>
              <a:p>
                <a:pPr>
                  <a:defRPr sz="1200" b="1"/>
                </a:pPr>
                <a:endParaRPr lang="hu-H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Munka2!$A$5:$A$13</c:f>
              <c:strCache>
                <c:ptCount val="9"/>
                <c:pt idx="0">
                  <c:v>Multinacionális vállalat</c:v>
                </c:pt>
                <c:pt idx="1">
                  <c:v>Nem multinacionális nagyvállalat</c:v>
                </c:pt>
                <c:pt idx="2">
                  <c:v>KKV</c:v>
                </c:pt>
                <c:pt idx="3">
                  <c:v>Munkaadói, vállalkozói szervezet</c:v>
                </c:pt>
                <c:pt idx="4">
                  <c:v>Munkavállalói szervezet</c:v>
                </c:pt>
                <c:pt idx="5">
                  <c:v>Civil szervezet</c:v>
                </c:pt>
                <c:pt idx="6">
                  <c:v>Közigazgatási szervezet</c:v>
                </c:pt>
                <c:pt idx="7">
                  <c:v>Oktatási intézmény</c:v>
                </c:pt>
                <c:pt idx="8">
                  <c:v>Magánszemélyként volt jelen</c:v>
                </c:pt>
              </c:strCache>
            </c:strRef>
          </c:cat>
          <c:val>
            <c:numRef>
              <c:f>Munka2!$B$5:$B$13</c:f>
              <c:numCache>
                <c:formatCode>General</c:formatCode>
                <c:ptCount val="9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Az Önök vállalatánál van CSR vagy fenntarthatósági vezető/szakember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340823590233039"/>
                  <c:y val="-0.10504504504504504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68447665632705"/>
                  <c:y val="-0.10167042633184366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/>
                      <a:t>Igen, én </a:t>
                    </a:r>
                    <a:endParaRPr lang="hu-HU"/>
                  </a:p>
                  <a:p>
                    <a:pPr>
                      <a:defRPr sz="1200" b="1"/>
                    </a:pPr>
                    <a:r>
                      <a:rPr lang="en-US"/>
                      <a:t>látom el a feladatot egyéb feladataim mellett
3</a:t>
                    </a:r>
                  </a:p>
                </c:rich>
              </c:tx>
              <c:spPr>
                <a:ln>
                  <a:noFill/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966296826533052E-2"/>
                  <c:y val="0.2487868340781726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3.8116201383917921E-2"/>
                  <c:y val="-9.9792012484925877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hu-HU"/>
                      <a:t>Igen, van részmunka-időben
0</a:t>
                    </a:r>
                  </a:p>
                </c:rich>
              </c:tx>
              <c:spPr>
                <a:ln>
                  <a:solidFill>
                    <a:schemeClr val="accent1"/>
                  </a:solidFill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5.5364769744691004E-2"/>
                  <c:y val="-0.10554642831808186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200" b="1"/>
                </a:pPr>
                <a:endParaRPr lang="hu-H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Munka2!$A$20:$A$25</c:f>
              <c:strCache>
                <c:ptCount val="6"/>
                <c:pt idx="0">
                  <c:v>Igen, én látom el a feladatot főállásban</c:v>
                </c:pt>
                <c:pt idx="1">
                  <c:v>Igen, én látom el a feladatot egyéb feladataim mellett</c:v>
                </c:pt>
                <c:pt idx="2">
                  <c:v>Igen, van főállásban</c:v>
                </c:pt>
                <c:pt idx="3">
                  <c:v>Igen, van részmunkaidőben</c:v>
                </c:pt>
                <c:pt idx="4">
                  <c:v>Nincs  </c:v>
                </c:pt>
                <c:pt idx="5">
                  <c:v>Nem tudom</c:v>
                </c:pt>
              </c:strCache>
            </c:strRef>
          </c:cat>
          <c:val>
            <c:numRef>
              <c:f>Munka2!$B$20:$B$25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Munka2!$A$20:$A$25</c:f>
              <c:strCache>
                <c:ptCount val="6"/>
                <c:pt idx="0">
                  <c:v>Igen, én látom el a feladatot főállásban</c:v>
                </c:pt>
                <c:pt idx="1">
                  <c:v>Igen, én látom el a feladatot egyéb feladataim mellett</c:v>
                </c:pt>
                <c:pt idx="2">
                  <c:v>Igen, van főállásban</c:v>
                </c:pt>
                <c:pt idx="3">
                  <c:v>Igen, van részmunkaidőben</c:v>
                </c:pt>
                <c:pt idx="4">
                  <c:v>Nincs  </c:v>
                </c:pt>
                <c:pt idx="5">
                  <c:v>Nem tudom</c:v>
                </c:pt>
              </c:strCache>
            </c:strRef>
          </c:cat>
          <c:val>
            <c:numRef>
              <c:f>Munka2!$C$20:$C$23</c:f>
              <c:numCache>
                <c:formatCode>0%</c:formatCode>
                <c:ptCount val="4"/>
                <c:pt idx="0">
                  <c:v>0.22222222222222221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11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Az RBC/CSR mely területét érzi a legkritikusabbnak/legfontosabbnak?</a:t>
            </a:r>
          </a:p>
        </c:rich>
      </c:tx>
      <c:layout>
        <c:manualLayout>
          <c:xMode val="edge"/>
          <c:yMode val="edge"/>
          <c:x val="0.159012701108887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642692811546706"/>
          <c:y val="0.25117624914576836"/>
          <c:w val="0.456599406555662"/>
          <c:h val="0.64722965879265093"/>
        </c:manualLayout>
      </c:layout>
      <c:pieChart>
        <c:varyColors val="1"/>
        <c:ser>
          <c:idx val="0"/>
          <c:order val="0"/>
          <c:dPt>
            <c:idx val="2"/>
            <c:bubble3D val="0"/>
            <c:spPr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1.8812278094867772E-2"/>
                  <c:y val="-6.6666666666666671E-3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2.8719809696158772E-2"/>
                  <c:y val="7.9290492373593133E-3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2.3474380517250159E-2"/>
                  <c:y val="-1.4265354330708661E-2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5649543807024122"/>
                  <c:y val="0.166502887139107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3.891976465904725E-2"/>
                  <c:y val="0.2089283464566929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Környezetvé</a:t>
                    </a:r>
                    <a:r>
                      <a:rPr lang="hu-HU"/>
                      <a:t>-</a:t>
                    </a:r>
                    <a:r>
                      <a:rPr lang="en-US"/>
                      <a:t>delem
11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2.1903012922106783E-2"/>
                  <c:y val="-0.12586660002753611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5.386933662046238E-2"/>
                  <c:y val="-0.17214626771234856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6.262641702344382E-2"/>
                  <c:y val="-0.11059555678511075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9"/>
              <c:layout>
                <c:manualLayout>
                  <c:x val="1.6570521277432915E-2"/>
                  <c:y val="-3.5992125984251909E-2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0"/>
              <c:layout>
                <c:manualLayout>
                  <c:x val="0.18876196031051673"/>
                  <c:y val="-1.8246194225721785E-2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200" b="1"/>
                </a:pPr>
                <a:endParaRPr lang="hu-H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Munka2!$A$48:$A$58</c:f>
              <c:strCache>
                <c:ptCount val="11"/>
                <c:pt idx="0">
                  <c:v>A helyi közösségek, közhasznú tevékenységek támogatása</c:v>
                </c:pt>
                <c:pt idx="1">
                  <c:v>Fenntartható fejlődés</c:v>
                </c:pt>
                <c:pt idx="2">
                  <c:v>Nyilvánosság</c:v>
                </c:pt>
                <c:pt idx="3">
                  <c:v>Emberi jogok</c:v>
                </c:pt>
                <c:pt idx="4">
                  <c:v>Foglalkoztatás </c:v>
                </c:pt>
                <c:pt idx="5">
                  <c:v>Környezetvédelem</c:v>
                </c:pt>
                <c:pt idx="6">
                  <c:v>Korrupció</c:v>
                </c:pt>
                <c:pt idx="7">
                  <c:v>Fogyasztói érdekek</c:v>
                </c:pt>
                <c:pt idx="8">
                  <c:v>Tudomány és technológia</c:v>
                </c:pt>
                <c:pt idx="9">
                  <c:v>Verseny</c:v>
                </c:pt>
                <c:pt idx="10">
                  <c:v>Adózás</c:v>
                </c:pt>
              </c:strCache>
            </c:strRef>
          </c:cat>
          <c:val>
            <c:numRef>
              <c:f>Munka2!$B$48:$B$58</c:f>
              <c:numCache>
                <c:formatCode>General</c:formatCode>
                <c:ptCount val="11"/>
                <c:pt idx="0">
                  <c:v>6</c:v>
                </c:pt>
                <c:pt idx="1">
                  <c:v>18</c:v>
                </c:pt>
                <c:pt idx="2">
                  <c:v>5</c:v>
                </c:pt>
                <c:pt idx="3">
                  <c:v>7</c:v>
                </c:pt>
                <c:pt idx="4">
                  <c:v>12</c:v>
                </c:pt>
                <c:pt idx="5">
                  <c:v>11</c:v>
                </c:pt>
                <c:pt idx="6">
                  <c:v>7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7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800"/>
            </a:pPr>
            <a:r>
              <a:rPr lang="hu-HU" sz="1800"/>
              <a:t>Mennyiben felelt meg a konferencia az Ön előzetes várakozásainak?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605030621172353"/>
          <c:y val="0.29444450302713499"/>
          <c:w val="0.44456627296587925"/>
          <c:h val="0.61319485926328177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6.7707349081364832E-2"/>
                  <c:y val="-6.5040640609640779E-2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8.1602143482064737E-2"/>
                  <c:y val="0.12978575149052723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20731846019247593"/>
                  <c:y val="5.44901389170477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3.1580489938757658E-2"/>
                  <c:y val="-0.22221696702147306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Munka2!$A$86:$A$89</c:f>
              <c:strCache>
                <c:ptCount val="4"/>
                <c:pt idx="0">
                  <c:v>Messze elmaradt</c:v>
                </c:pt>
                <c:pt idx="1">
                  <c:v>Elmaradt</c:v>
                </c:pt>
                <c:pt idx="2">
                  <c:v>Megfelelt</c:v>
                </c:pt>
                <c:pt idx="3">
                  <c:v>Várakozásain túlmenően jól sikerült</c:v>
                </c:pt>
              </c:strCache>
            </c:strRef>
          </c:cat>
          <c:val>
            <c:numRef>
              <c:f>Munka2!$B$86:$B$89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5"/>
      </c:pieChart>
    </c:plotArea>
    <c:plotVisOnly val="1"/>
    <c:dispBlanksAs val="gap"/>
    <c:showDLblsOverMax val="0"/>
  </c:chart>
  <c:txPr>
    <a:bodyPr/>
    <a:lstStyle/>
    <a:p>
      <a:pPr>
        <a:defRPr sz="1200" b="1"/>
      </a:pPr>
      <a:endParaRPr lang="hu-H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Személy szerint Ön milyen gyakorisággal venne részt hasonló konferencián/műhelymunkán?</a:t>
            </a:r>
          </a:p>
        </c:rich>
      </c:tx>
      <c:layout>
        <c:manualLayout>
          <c:xMode val="edge"/>
          <c:yMode val="edge"/>
          <c:x val="0.13688888888888889"/>
          <c:y val="1.851863683781316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035170603674541"/>
          <c:y val="0.3215200829516377"/>
          <c:w val="0.41485236220472443"/>
          <c:h val="0.55160424891486903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6.0068460192476039E-2"/>
                  <c:y val="0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200" b="1"/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200" b="1"/>
                </a:pPr>
                <a:endParaRPr lang="hu-H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Munka2!$A$114:$A$116</c:f>
              <c:strCache>
                <c:ptCount val="3"/>
                <c:pt idx="0">
                  <c:v>A közeljövőben nem</c:v>
                </c:pt>
                <c:pt idx="1">
                  <c:v>Évente egyszer</c:v>
                </c:pt>
                <c:pt idx="2">
                  <c:v>Akár évente többször is</c:v>
                </c:pt>
              </c:strCache>
            </c:strRef>
          </c:cat>
          <c:val>
            <c:numRef>
              <c:f>Munka2!$B$114:$B$116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36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221287-3B77-4EC0-918D-42603E35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566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Vágó Júlia dr.</dc:creator>
  <cp:lastModifiedBy>Vágó Júlia dr.</cp:lastModifiedBy>
  <cp:revision>4</cp:revision>
  <dcterms:created xsi:type="dcterms:W3CDTF">2016-09-26T13:36:00Z</dcterms:created>
  <dcterms:modified xsi:type="dcterms:W3CDTF">2016-09-27T08:25:00Z</dcterms:modified>
</cp:coreProperties>
</file>